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A51" w:rsidRPr="00BB647A" w:rsidRDefault="00FB1A51" w:rsidP="00FB1A51">
      <w:pPr>
        <w:pStyle w:val="a3"/>
        <w:jc w:val="center"/>
        <w:rPr>
          <w:b/>
          <w:color w:val="000000"/>
        </w:rPr>
      </w:pPr>
      <w:bookmarkStart w:id="0" w:name="_Toc75073839"/>
      <w:bookmarkStart w:id="1" w:name="_Toc76033988"/>
      <w:bookmarkStart w:id="2" w:name="_Toc77568361"/>
      <w:bookmarkStart w:id="3" w:name="_Toc87085427"/>
      <w:r w:rsidRPr="00BB647A">
        <w:rPr>
          <w:b/>
          <w:color w:val="000000"/>
        </w:rPr>
        <w:t>Статья 2. Границы муниципального района</w:t>
      </w:r>
    </w:p>
    <w:bookmarkEnd w:id="0"/>
    <w:bookmarkEnd w:id="1"/>
    <w:bookmarkEnd w:id="2"/>
    <w:bookmarkEnd w:id="3"/>
    <w:p w:rsidR="00FB1A51" w:rsidRPr="00BB647A" w:rsidRDefault="00FB1A51" w:rsidP="00FB1A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1. Границы территории муниципального района установлены Законом Республики Дагестан от 12.03.2012 года № 13 «Об утверждении границ муниципальных образований Республики Дагестан» и о внесении изменений в Закон Республики Дагестан «О статусе и границах муниципальных образований Республики Дагестан».</w:t>
      </w:r>
    </w:p>
    <w:p w:rsidR="00FB1A51" w:rsidRPr="00BB647A" w:rsidRDefault="00FB1A51" w:rsidP="00FB1A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2. Границы муниципального района подлежат описанию и утверждению в соответствии с требованиями градостроительного и земельного законодательства. Схема территории муниципального района и описание границ являются приложением к настоящему Уставу.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FB1A51"/>
    <w:rsid w:val="00E90002"/>
    <w:rsid w:val="00FB1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1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2021-04-19T11:17:00Z</dcterms:created>
  <dcterms:modified xsi:type="dcterms:W3CDTF">2021-04-19T11:18:00Z</dcterms:modified>
</cp:coreProperties>
</file>