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A0" w:rsidRPr="001D5355" w:rsidRDefault="005C3CA0" w:rsidP="005C3CA0">
      <w:pPr>
        <w:pStyle w:val="a3"/>
        <w:jc w:val="center"/>
        <w:rPr>
          <w:b/>
          <w:color w:val="000000"/>
          <w:sz w:val="27"/>
          <w:szCs w:val="27"/>
        </w:rPr>
      </w:pPr>
      <w:r w:rsidRPr="001D5355">
        <w:rPr>
          <w:b/>
          <w:color w:val="000000"/>
          <w:sz w:val="27"/>
          <w:szCs w:val="27"/>
        </w:rPr>
        <w:t>Статья 54. Исполнение бюджета муниципального района</w:t>
      </w:r>
    </w:p>
    <w:p w:rsidR="005C3CA0" w:rsidRDefault="005C3CA0" w:rsidP="005C3CA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1. Исполнение местного бюджета производится в соответствии с Бюджетным кодексом Российской Федерации.</w:t>
      </w:r>
    </w:p>
    <w:p w:rsidR="005C3CA0" w:rsidRDefault="005C3CA0" w:rsidP="005C3CA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2. Кассовое обслуживание исполнения бюджета муниципального района осуществляется в порядке, установленном Бюджетным кодексом Российской Федерации.</w:t>
      </w:r>
    </w:p>
    <w:p w:rsidR="005C3CA0" w:rsidRDefault="005C3CA0" w:rsidP="005C3CA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3. Исполнение бюджета муниципального района организуется на основе сводной бюджетной росписи и кассового плана.</w:t>
      </w:r>
    </w:p>
    <w:p w:rsidR="005C3CA0" w:rsidRDefault="005C3CA0" w:rsidP="005C3CA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Отчет об исполнении бюджета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5C3CA0" w:rsidRDefault="005C3CA0" w:rsidP="005C3CA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4. </w:t>
      </w:r>
      <w:proofErr w:type="gramStart"/>
      <w:r>
        <w:rPr>
          <w:color w:val="000000"/>
          <w:sz w:val="27"/>
          <w:szCs w:val="27"/>
        </w:rPr>
        <w:t>Доходы, фактически полученные при исполнении бюджета муниципального района сверх утвержденных решением Собрания депутатов муниципального района о бюджете муниципального района, могут направляться финансовым органом без внесения изменений в решение Собрания депутатов муниципального района о бюджете муниципального района на цели, установленные Бюджетным кодексом Российской Федерации.</w:t>
      </w:r>
      <w:proofErr w:type="gramEnd"/>
    </w:p>
    <w:p w:rsidR="005C3CA0" w:rsidRDefault="005C3CA0" w:rsidP="005C3CA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5.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бюджета муниципального района осуществляют Собрание депутатов муниципального района, администрация муниципального района, контрольно-счетный орган муниципального района в формах и порядке, установленных Бюджетным кодексом Российской Федерации иными актами бюджетного законодательства и муниципальными правовыми актами.</w:t>
      </w:r>
    </w:p>
    <w:p w:rsidR="005C3CA0" w:rsidRDefault="005C3CA0" w:rsidP="005C3CA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6. Собрание депутатов муниципального района вправе рассматривать отдельные вопросы исполнения бюджета муниципального района на заседаниях комиссий, рабочих групп в ходе депутатских слушаний и в связи с депутатскими запросами.</w:t>
      </w:r>
    </w:p>
    <w:p w:rsidR="005C3CA0" w:rsidRDefault="005C3CA0" w:rsidP="005C3CA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7. По представлению Главы муниципального района Собрание депутатов муниципального района утверждает отчет об исполнении бюджета муниципального района.</w:t>
      </w:r>
    </w:p>
    <w:p w:rsidR="005C3CA0" w:rsidRDefault="005C3CA0" w:rsidP="005C3CA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8. Неисполнение местного бюджета, является основанием для привлечения должностных лиц местного самоуправления к ответственности в соответствии с федеральными законами.</w:t>
      </w:r>
    </w:p>
    <w:p w:rsidR="000470E4" w:rsidRDefault="000470E4"/>
    <w:sectPr w:rsidR="000470E4" w:rsidSect="0004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CA0"/>
    <w:rsid w:val="000470E4"/>
    <w:rsid w:val="005C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3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>Krokoz™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2017-10-13T07:01:00Z</dcterms:created>
  <dcterms:modified xsi:type="dcterms:W3CDTF">2017-10-13T07:01:00Z</dcterms:modified>
</cp:coreProperties>
</file>