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059" w:rsidRPr="00D232AD" w:rsidRDefault="002A7059" w:rsidP="002A7059">
      <w:pPr>
        <w:pStyle w:val="a3"/>
        <w:jc w:val="center"/>
        <w:rPr>
          <w:b/>
          <w:color w:val="000000"/>
          <w:sz w:val="27"/>
          <w:szCs w:val="27"/>
        </w:rPr>
      </w:pPr>
      <w:r w:rsidRPr="00D232AD">
        <w:rPr>
          <w:b/>
          <w:color w:val="000000"/>
          <w:sz w:val="27"/>
          <w:szCs w:val="27"/>
        </w:rPr>
        <w:t>Статья 58. Выравнивание бюджетной обеспеченности муниципального района</w:t>
      </w:r>
    </w:p>
    <w:p w:rsidR="002A7059" w:rsidRDefault="002A7059" w:rsidP="002A7059">
      <w:pPr>
        <w:pStyle w:val="a3"/>
        <w:jc w:val="both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Выравнивание бюджетной обеспеченности муниципального района осуществляется в соответствии с требованиями Бюджетного кодекса Российской Федерации.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059"/>
    <w:rsid w:val="000470E4"/>
    <w:rsid w:val="002A70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A70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>Krokoz™</Company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2017-10-13T07:02:00Z</dcterms:created>
  <dcterms:modified xsi:type="dcterms:W3CDTF">2017-10-13T07:02:00Z</dcterms:modified>
</cp:coreProperties>
</file>